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FB37" w14:textId="77777777" w:rsidR="00000C73" w:rsidRPr="00485771" w:rsidRDefault="00000C73" w:rsidP="00000C73">
      <w:pPr>
        <w:widowControl w:val="0"/>
        <w:kinsoku w:val="0"/>
        <w:overflowPunct w:val="0"/>
        <w:autoSpaceDE w:val="0"/>
        <w:autoSpaceDN w:val="0"/>
        <w:adjustRightInd w:val="0"/>
        <w:spacing w:before="69" w:after="0" w:line="240" w:lineRule="auto"/>
        <w:ind w:left="305" w:right="500"/>
        <w:rPr>
          <w:rFonts w:ascii="Segoe UI" w:eastAsiaTheme="minorEastAsia" w:hAnsi="Segoe UI" w:cs="Segoe UI"/>
          <w:b/>
          <w:bCs/>
          <w:sz w:val="24"/>
          <w:szCs w:val="24"/>
          <w:lang w:val="en-GB" w:eastAsia="sv-SE"/>
        </w:rPr>
      </w:pPr>
      <w:r w:rsidRPr="00485771">
        <w:rPr>
          <w:rFonts w:ascii="Segoe UI" w:eastAsiaTheme="minorEastAsia" w:hAnsi="Segoe UI" w:cs="Segoe UI"/>
          <w:b/>
          <w:bCs/>
          <w:sz w:val="24"/>
          <w:szCs w:val="24"/>
          <w:lang w:val="en-GB" w:eastAsia="sv-SE"/>
        </w:rPr>
        <w:t>BOLAGSORDNING</w:t>
      </w:r>
    </w:p>
    <w:p w14:paraId="36661D29" w14:textId="77777777" w:rsidR="00000C73" w:rsidRPr="00FC36F4" w:rsidRDefault="00FC36F4" w:rsidP="00000C73">
      <w:pPr>
        <w:widowControl w:val="0"/>
        <w:kinsoku w:val="0"/>
        <w:overflowPunct w:val="0"/>
        <w:autoSpaceDE w:val="0"/>
        <w:autoSpaceDN w:val="0"/>
        <w:adjustRightInd w:val="0"/>
        <w:spacing w:before="69" w:after="0" w:line="240" w:lineRule="auto"/>
        <w:ind w:left="305" w:right="500"/>
        <w:rPr>
          <w:rFonts w:ascii="Segoe UI" w:eastAsiaTheme="minorEastAsia" w:hAnsi="Segoe UI" w:cs="Segoe UI"/>
          <w:b/>
          <w:bCs/>
          <w:sz w:val="24"/>
          <w:szCs w:val="24"/>
          <w:lang w:val="en-GB" w:eastAsia="sv-SE"/>
        </w:rPr>
      </w:pPr>
      <w:r>
        <w:rPr>
          <w:rFonts w:ascii="Garamond" w:eastAsiaTheme="minorEastAsia" w:hAnsi="Garamond" w:cs="Segoe UI"/>
          <w:sz w:val="24"/>
          <w:szCs w:val="24"/>
          <w:lang w:val="en-GB" w:eastAsia="sv-SE"/>
        </w:rPr>
        <w:t>Latvian Forest Company AB</w:t>
      </w:r>
      <w:r w:rsidRPr="00FC36F4">
        <w:rPr>
          <w:rFonts w:ascii="Garamond" w:eastAsiaTheme="minorEastAsia" w:hAnsi="Garamond" w:cs="Segoe UI"/>
          <w:sz w:val="24"/>
          <w:szCs w:val="24"/>
          <w:lang w:val="en-GB" w:eastAsia="sv-SE"/>
        </w:rPr>
        <w:t xml:space="preserve"> (</w:t>
      </w:r>
      <w:proofErr w:type="spellStart"/>
      <w:r w:rsidRPr="00FC36F4">
        <w:rPr>
          <w:rFonts w:ascii="Garamond" w:eastAsiaTheme="minorEastAsia" w:hAnsi="Garamond" w:cs="Segoe UI"/>
          <w:sz w:val="24"/>
          <w:szCs w:val="24"/>
          <w:lang w:val="en-GB" w:eastAsia="sv-SE"/>
        </w:rPr>
        <w:t>publ</w:t>
      </w:r>
      <w:proofErr w:type="spellEnd"/>
      <w:r w:rsidRPr="00FC36F4">
        <w:rPr>
          <w:rFonts w:ascii="Garamond" w:eastAsiaTheme="minorEastAsia" w:hAnsi="Garamond" w:cs="Segoe UI"/>
          <w:sz w:val="24"/>
          <w:szCs w:val="24"/>
          <w:lang w:val="en-GB" w:eastAsia="sv-SE"/>
        </w:rPr>
        <w:t>)</w:t>
      </w:r>
      <w:r>
        <w:rPr>
          <w:rFonts w:ascii="Garamond" w:eastAsiaTheme="minorEastAsia" w:hAnsi="Garamond" w:cs="Segoe UI"/>
          <w:sz w:val="24"/>
          <w:szCs w:val="24"/>
          <w:lang w:val="en-GB" w:eastAsia="sv-SE"/>
        </w:rPr>
        <w:t>, O</w:t>
      </w:r>
      <w:r w:rsidR="00000C73" w:rsidRPr="00FC36F4">
        <w:rPr>
          <w:rFonts w:ascii="Garamond" w:eastAsiaTheme="minorEastAsia" w:hAnsi="Garamond" w:cs="Times New Roman"/>
          <w:sz w:val="24"/>
          <w:szCs w:val="24"/>
          <w:lang w:val="en-GB" w:eastAsia="sv-SE"/>
        </w:rPr>
        <w:t>rg. nr</w:t>
      </w:r>
      <w:r>
        <w:rPr>
          <w:rFonts w:ascii="Garamond" w:eastAsiaTheme="minorEastAsia" w:hAnsi="Garamond" w:cs="Times New Roman"/>
          <w:sz w:val="24"/>
          <w:szCs w:val="24"/>
          <w:lang w:val="en-GB" w:eastAsia="sv-SE"/>
        </w:rPr>
        <w:t>.</w:t>
      </w:r>
      <w:r w:rsidR="00000C73" w:rsidRPr="00FC36F4">
        <w:rPr>
          <w:rFonts w:ascii="Garamond" w:eastAsiaTheme="minorEastAsia" w:hAnsi="Garamond" w:cs="Times New Roman"/>
          <w:sz w:val="24"/>
          <w:szCs w:val="24"/>
          <w:lang w:val="en-GB" w:eastAsia="sv-SE"/>
        </w:rPr>
        <w:t xml:space="preserve"> 556789-0495</w:t>
      </w:r>
    </w:p>
    <w:p w14:paraId="06797FDF" w14:textId="77777777" w:rsidR="00000C73" w:rsidRPr="00FC36F4" w:rsidRDefault="00000C73" w:rsidP="00000C73">
      <w:pPr>
        <w:widowControl w:val="0"/>
        <w:kinsoku w:val="0"/>
        <w:overflowPunct w:val="0"/>
        <w:autoSpaceDE w:val="0"/>
        <w:autoSpaceDN w:val="0"/>
        <w:adjustRightInd w:val="0"/>
        <w:spacing w:before="69" w:after="0" w:line="240" w:lineRule="auto"/>
        <w:ind w:right="500"/>
        <w:rPr>
          <w:rFonts w:ascii="Segoe UI" w:eastAsiaTheme="minorEastAsia" w:hAnsi="Segoe UI" w:cs="Segoe UI"/>
          <w:sz w:val="24"/>
          <w:szCs w:val="24"/>
          <w:lang w:val="en-GB" w:eastAsia="sv-SE"/>
        </w:rPr>
      </w:pPr>
    </w:p>
    <w:p w14:paraId="7E2B368B"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1. Företagsnamn</w:t>
      </w:r>
      <w:r w:rsidRPr="00000C73">
        <w:rPr>
          <w:rFonts w:ascii="Garamond" w:eastAsiaTheme="minorEastAsia" w:hAnsi="Garamond" w:cs="Times New Roman"/>
          <w:b/>
          <w:bCs/>
          <w:sz w:val="24"/>
          <w:szCs w:val="24"/>
          <w:lang w:eastAsia="sv-SE"/>
        </w:rPr>
        <w:br/>
      </w:r>
    </w:p>
    <w:p w14:paraId="5AD87CF6"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Bolagets företagsnamn är Latvian Forest Company AB (</w:t>
      </w:r>
      <w:proofErr w:type="spellStart"/>
      <w:r w:rsidRPr="00000C73">
        <w:rPr>
          <w:rFonts w:ascii="Garamond" w:eastAsiaTheme="minorEastAsia" w:hAnsi="Garamond" w:cs="Times New Roman"/>
          <w:sz w:val="24"/>
          <w:szCs w:val="24"/>
          <w:lang w:eastAsia="sv-SE"/>
        </w:rPr>
        <w:t>publ</w:t>
      </w:r>
      <w:proofErr w:type="spellEnd"/>
      <w:r w:rsidRPr="00000C73">
        <w:rPr>
          <w:rFonts w:ascii="Garamond" w:eastAsiaTheme="minorEastAsia" w:hAnsi="Garamond" w:cs="Times New Roman"/>
          <w:sz w:val="24"/>
          <w:szCs w:val="24"/>
          <w:lang w:eastAsia="sv-SE"/>
        </w:rPr>
        <w:t>). Bolaget är publikt.</w:t>
      </w:r>
      <w:r w:rsidRPr="00000C73">
        <w:rPr>
          <w:rFonts w:ascii="Garamond" w:eastAsiaTheme="minorEastAsia" w:hAnsi="Garamond" w:cs="Times New Roman"/>
          <w:sz w:val="24"/>
          <w:szCs w:val="24"/>
          <w:lang w:eastAsia="sv-SE"/>
        </w:rPr>
        <w:br/>
      </w:r>
    </w:p>
    <w:p w14:paraId="3E3EDCFB"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2. Styrelsens säte</w:t>
      </w:r>
      <w:r w:rsidRPr="00000C73">
        <w:rPr>
          <w:rFonts w:ascii="Garamond" w:eastAsiaTheme="minorEastAsia" w:hAnsi="Garamond" w:cs="Times New Roman"/>
          <w:b/>
          <w:bCs/>
          <w:sz w:val="24"/>
          <w:szCs w:val="24"/>
          <w:lang w:eastAsia="sv-SE"/>
        </w:rPr>
        <w:br/>
      </w:r>
    </w:p>
    <w:p w14:paraId="0CB06D71"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Styrelsen skall ha sitt säte i Stockholms kommun.</w:t>
      </w:r>
    </w:p>
    <w:p w14:paraId="67633CE0" w14:textId="77777777" w:rsidR="00000C73" w:rsidRPr="00000C73" w:rsidRDefault="00000C73" w:rsidP="00000C73">
      <w:pPr>
        <w:widowControl w:val="0"/>
        <w:kinsoku w:val="0"/>
        <w:overflowPunct w:val="0"/>
        <w:autoSpaceDE w:val="0"/>
        <w:autoSpaceDN w:val="0"/>
        <w:adjustRightInd w:val="0"/>
        <w:spacing w:after="0" w:line="240" w:lineRule="auto"/>
        <w:ind w:left="665" w:right="400"/>
        <w:rPr>
          <w:rFonts w:ascii="Garamond" w:eastAsiaTheme="minorEastAsia" w:hAnsi="Garamond" w:cs="Times New Roman"/>
          <w:sz w:val="24"/>
          <w:szCs w:val="24"/>
          <w:lang w:eastAsia="sv-SE"/>
        </w:rPr>
      </w:pPr>
    </w:p>
    <w:p w14:paraId="65233963"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rPr>
      </w:pPr>
      <w:r w:rsidRPr="00000C73">
        <w:rPr>
          <w:rFonts w:ascii="Garamond" w:eastAsiaTheme="minorEastAsia" w:hAnsi="Garamond" w:cs="Times New Roman"/>
          <w:b/>
          <w:bCs/>
          <w:sz w:val="24"/>
          <w:szCs w:val="24"/>
          <w:lang w:eastAsia="sv-SE"/>
        </w:rPr>
        <w:t>§ 3. Verksamhet</w:t>
      </w:r>
      <w:r w:rsidRPr="00000C73">
        <w:rPr>
          <w:rFonts w:ascii="Garamond" w:eastAsiaTheme="minorEastAsia" w:hAnsi="Garamond" w:cs="Times New Roman"/>
          <w:b/>
          <w:bCs/>
          <w:sz w:val="24"/>
          <w:szCs w:val="24"/>
          <w:lang w:eastAsia="sv-SE"/>
        </w:rPr>
        <w:br/>
      </w:r>
      <w:r w:rsidRPr="00000C73">
        <w:rPr>
          <w:rFonts w:ascii="Garamond" w:eastAsiaTheme="minorEastAsia" w:hAnsi="Garamond" w:cs="Times New Roman"/>
          <w:sz w:val="24"/>
          <w:szCs w:val="24"/>
          <w:lang w:eastAsia="sv-SE"/>
        </w:rPr>
        <w:br/>
        <w:t>Bolaget ska bedriva köp och försäljning av mark, företrädesvis men inte uteslutande i Lettland. Bolaget ska, direkt eller indirekt, bedriva skogsbruksrörelse innefattande upplåtande av rättigheter till tillgångarna, marknadsföring och försäljning av produkter härrörande från dessa tillgångar. Vidare ska bolaget bedriva försäljning av konsulttjänster avseende ovan nämnda bransch, äga och förvalta fastigheter samt bedriva därmed förenlig verksamhet. Bolaget skall äga och förvalta aktier och andra andelsbevis i industriella företag, driva industriell och kommersiell rörelse, företrädesvis omfattande skogsbruk och skogsindustri, ävensom utöva annan liknande verksamhet.</w:t>
      </w:r>
    </w:p>
    <w:p w14:paraId="135D66E8" w14:textId="77777777" w:rsidR="00000C73" w:rsidRPr="00000C73" w:rsidRDefault="00000C73" w:rsidP="00000C73">
      <w:pPr>
        <w:widowControl w:val="0"/>
        <w:autoSpaceDE w:val="0"/>
        <w:autoSpaceDN w:val="0"/>
        <w:adjustRightInd w:val="0"/>
        <w:spacing w:after="0" w:line="240" w:lineRule="auto"/>
        <w:ind w:left="720"/>
        <w:contextualSpacing/>
        <w:rPr>
          <w:rFonts w:ascii="Garamond" w:eastAsiaTheme="minorEastAsia" w:hAnsi="Garamond" w:cs="Times New Roman"/>
          <w:sz w:val="24"/>
          <w:szCs w:val="24"/>
          <w:lang w:eastAsia="sv-SE"/>
        </w:rPr>
      </w:pPr>
    </w:p>
    <w:p w14:paraId="014180E4"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4. Aktiekapital</w:t>
      </w:r>
      <w:r w:rsidRPr="00000C73">
        <w:rPr>
          <w:rFonts w:ascii="Garamond" w:eastAsiaTheme="minorEastAsia" w:hAnsi="Garamond" w:cs="Times New Roman"/>
          <w:b/>
          <w:bCs/>
          <w:sz w:val="24"/>
          <w:szCs w:val="24"/>
          <w:lang w:eastAsia="sv-SE"/>
        </w:rPr>
        <w:br/>
      </w:r>
    </w:p>
    <w:p w14:paraId="48FA5D8E" w14:textId="62246B11"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 xml:space="preserve">Aktiekapitalet skall utgöra lägst </w:t>
      </w:r>
      <w:r w:rsidR="00845856">
        <w:rPr>
          <w:rFonts w:ascii="Garamond" w:eastAsia="Calibri" w:hAnsi="Garamond" w:cs="Calibri"/>
          <w:sz w:val="24"/>
          <w:szCs w:val="24"/>
        </w:rPr>
        <w:t>4.106.436,00</w:t>
      </w:r>
      <w:r w:rsidRPr="00000C73">
        <w:rPr>
          <w:rFonts w:ascii="Garamond" w:eastAsia="Calibri" w:hAnsi="Garamond" w:cs="Calibri"/>
          <w:sz w:val="24"/>
          <w:szCs w:val="24"/>
        </w:rPr>
        <w:t xml:space="preserve"> </w:t>
      </w:r>
      <w:r w:rsidRPr="00000C73">
        <w:rPr>
          <w:rFonts w:ascii="Garamond" w:eastAsiaTheme="minorEastAsia" w:hAnsi="Garamond" w:cs="Times New Roman"/>
          <w:sz w:val="24"/>
          <w:szCs w:val="24"/>
          <w:lang w:eastAsia="sv-SE"/>
        </w:rPr>
        <w:t xml:space="preserve">Euro och högst </w:t>
      </w:r>
      <w:r w:rsidR="00845856">
        <w:rPr>
          <w:rFonts w:ascii="Garamond" w:eastAsia="Calibri" w:hAnsi="Garamond" w:cs="Calibri"/>
          <w:sz w:val="24"/>
          <w:szCs w:val="24"/>
        </w:rPr>
        <w:t>16.425.744,00</w:t>
      </w:r>
      <w:r w:rsidRPr="00000C73">
        <w:rPr>
          <w:rFonts w:ascii="Garamond" w:eastAsia="Calibri" w:hAnsi="Garamond" w:cs="Calibri"/>
          <w:sz w:val="24"/>
          <w:szCs w:val="24"/>
        </w:rPr>
        <w:t xml:space="preserve"> </w:t>
      </w:r>
      <w:r w:rsidRPr="00000C73">
        <w:rPr>
          <w:rFonts w:ascii="Garamond" w:eastAsiaTheme="minorEastAsia" w:hAnsi="Garamond" w:cs="Times New Roman"/>
          <w:sz w:val="24"/>
          <w:szCs w:val="24"/>
          <w:lang w:eastAsia="sv-SE"/>
        </w:rPr>
        <w:t>Euro.</w:t>
      </w:r>
    </w:p>
    <w:p w14:paraId="47E3E94D" w14:textId="77777777" w:rsidR="00000C73" w:rsidRPr="00000C73" w:rsidRDefault="00000C73" w:rsidP="00000C73">
      <w:pPr>
        <w:widowControl w:val="0"/>
        <w:autoSpaceDE w:val="0"/>
        <w:autoSpaceDN w:val="0"/>
        <w:adjustRightInd w:val="0"/>
        <w:spacing w:after="0" w:line="240" w:lineRule="auto"/>
        <w:ind w:left="720"/>
        <w:contextualSpacing/>
        <w:rPr>
          <w:rFonts w:ascii="Garamond" w:eastAsiaTheme="minorEastAsia" w:hAnsi="Garamond" w:cs="Times New Roman"/>
          <w:sz w:val="24"/>
          <w:szCs w:val="24"/>
          <w:lang w:eastAsia="sv-SE"/>
        </w:rPr>
      </w:pPr>
    </w:p>
    <w:p w14:paraId="0D7A16AD"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5. Aktieslag</w:t>
      </w:r>
    </w:p>
    <w:p w14:paraId="1FC4AD50"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57398DF5"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Aktierna skall utges i två serier, serie A och serie B. A-aktie medför 10 röster per aktie och</w:t>
      </w:r>
    </w:p>
    <w:p w14:paraId="5607DD2C"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B-aktie medför 1 röst per aktie. A- och B-aktier kan i vardera serien utges till högst det</w:t>
      </w:r>
    </w:p>
    <w:p w14:paraId="06BCD3C7"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 xml:space="preserve">antal som motsvarar 100 procent av hela aktiekapitalet. </w:t>
      </w:r>
    </w:p>
    <w:p w14:paraId="15153743"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69F5C121"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Vid ökning av aktiekapitalet genom kontantemission eller kvittningsemission, skall</w:t>
      </w:r>
    </w:p>
    <w:p w14:paraId="13FF0D3F"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innehavare av aktier av serie A samt serie B äga företrädesrätt att teckna nya aktier av</w:t>
      </w:r>
    </w:p>
    <w:p w14:paraId="3AABDFD6"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samma aktieslag i förhållande till det antal aktier innehavaren förut äger (primär</w:t>
      </w:r>
    </w:p>
    <w:p w14:paraId="6EB6E630"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företrädesrätt). Aktier som inte tecknas med primär företrädesrätt skall erbjudas samtliga</w:t>
      </w:r>
    </w:p>
    <w:p w14:paraId="79A9AA48"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aktieägare till teckning (subsidiär företrädesrätt). Om inte sålunda erbjudna aktier räcker</w:t>
      </w:r>
    </w:p>
    <w:p w14:paraId="7CF68D41"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för</w:t>
      </w:r>
      <w:r>
        <w:rPr>
          <w:rFonts w:ascii="Garamond" w:eastAsiaTheme="minorEastAsia" w:hAnsi="Garamond" w:cs="Times New Roman"/>
          <w:sz w:val="24"/>
          <w:szCs w:val="24"/>
          <w:lang w:eastAsia="sv-SE"/>
        </w:rPr>
        <w:t xml:space="preserve"> </w:t>
      </w:r>
      <w:r w:rsidRPr="00000C73">
        <w:rPr>
          <w:rFonts w:ascii="Garamond" w:eastAsiaTheme="minorEastAsia" w:hAnsi="Garamond" w:cs="Times New Roman"/>
          <w:sz w:val="24"/>
          <w:szCs w:val="24"/>
          <w:lang w:eastAsia="sv-SE"/>
        </w:rPr>
        <w:t>den teckning som sker med subsidiär företrädesrätt, skall aktierna fördelas mellan</w:t>
      </w:r>
    </w:p>
    <w:p w14:paraId="1995F59F"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tecknarna</w:t>
      </w:r>
      <w:r>
        <w:rPr>
          <w:rFonts w:ascii="Garamond" w:eastAsiaTheme="minorEastAsia" w:hAnsi="Garamond" w:cs="Times New Roman"/>
          <w:sz w:val="24"/>
          <w:szCs w:val="24"/>
          <w:lang w:eastAsia="sv-SE"/>
        </w:rPr>
        <w:t xml:space="preserve"> </w:t>
      </w:r>
      <w:r w:rsidRPr="00000C73">
        <w:rPr>
          <w:rFonts w:ascii="Garamond" w:eastAsiaTheme="minorEastAsia" w:hAnsi="Garamond" w:cs="Times New Roman"/>
          <w:sz w:val="24"/>
          <w:szCs w:val="24"/>
          <w:lang w:eastAsia="sv-SE"/>
        </w:rPr>
        <w:t>i förhållande till det totala antal aktier de förut äger i bolaget. I den mån detta</w:t>
      </w:r>
    </w:p>
    <w:p w14:paraId="28FC83BE"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inte kan ske</w:t>
      </w:r>
      <w:r>
        <w:rPr>
          <w:rFonts w:ascii="Garamond" w:eastAsiaTheme="minorEastAsia" w:hAnsi="Garamond" w:cs="Times New Roman"/>
          <w:sz w:val="24"/>
          <w:szCs w:val="24"/>
          <w:lang w:eastAsia="sv-SE"/>
        </w:rPr>
        <w:t xml:space="preserve"> </w:t>
      </w:r>
      <w:r w:rsidRPr="00000C73">
        <w:rPr>
          <w:rFonts w:ascii="Garamond" w:eastAsiaTheme="minorEastAsia" w:hAnsi="Garamond" w:cs="Times New Roman"/>
          <w:sz w:val="24"/>
          <w:szCs w:val="24"/>
          <w:lang w:eastAsia="sv-SE"/>
        </w:rPr>
        <w:t>vad avser viss aktie/vissa aktier, sker fördelning genom lottning.</w:t>
      </w:r>
      <w:r w:rsidRPr="00000C73">
        <w:rPr>
          <w:rFonts w:ascii="Garamond" w:eastAsia="Arial" w:hAnsi="Garamond" w:cs="Arial"/>
          <w:color w:val="000000"/>
          <w:lang w:eastAsia="sv-SE" w:bidi="sv-SE"/>
        </w:rPr>
        <w:t xml:space="preserve"> </w:t>
      </w:r>
    </w:p>
    <w:p w14:paraId="7A56E597"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Arial" w:hAnsi="Garamond" w:cs="Arial"/>
          <w:color w:val="000000"/>
          <w:lang w:eastAsia="sv-SE" w:bidi="sv-SE"/>
        </w:rPr>
      </w:pPr>
    </w:p>
    <w:p w14:paraId="72B2BC53"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bidi="sv-SE"/>
        </w:rPr>
      </w:pPr>
      <w:r w:rsidRPr="00000C73">
        <w:rPr>
          <w:rFonts w:ascii="Garamond" w:eastAsiaTheme="minorEastAsia" w:hAnsi="Garamond" w:cs="Times New Roman"/>
          <w:sz w:val="24"/>
          <w:szCs w:val="24"/>
          <w:lang w:eastAsia="sv-SE" w:bidi="sv-SE"/>
        </w:rPr>
        <w:t>Beslutar bolaget att genom kontantemission eller kvittningsemission ge ut aktier endast av</w:t>
      </w:r>
    </w:p>
    <w:p w14:paraId="4DEFC0B3"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bidi="sv-SE"/>
        </w:rPr>
      </w:pPr>
      <w:r w:rsidRPr="00000C73">
        <w:rPr>
          <w:rFonts w:ascii="Garamond" w:eastAsiaTheme="minorEastAsia" w:hAnsi="Garamond" w:cs="Times New Roman"/>
          <w:sz w:val="24"/>
          <w:szCs w:val="24"/>
          <w:lang w:eastAsia="sv-SE" w:bidi="sv-SE"/>
        </w:rPr>
        <w:t>serie A eller serie B skall samtliga aktieägare oavsett om deras aktier är av serie A eller</w:t>
      </w:r>
    </w:p>
    <w:p w14:paraId="01C0794F"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bidi="sv-SE"/>
        </w:rPr>
      </w:pPr>
      <w:r w:rsidRPr="00000C73">
        <w:rPr>
          <w:rFonts w:ascii="Garamond" w:eastAsiaTheme="minorEastAsia" w:hAnsi="Garamond" w:cs="Times New Roman"/>
          <w:sz w:val="24"/>
          <w:szCs w:val="24"/>
          <w:lang w:eastAsia="sv-SE" w:bidi="sv-SE"/>
        </w:rPr>
        <w:t>serie</w:t>
      </w:r>
      <w:r>
        <w:rPr>
          <w:rFonts w:ascii="Garamond" w:eastAsiaTheme="minorEastAsia" w:hAnsi="Garamond" w:cs="Times New Roman"/>
          <w:sz w:val="24"/>
          <w:szCs w:val="24"/>
          <w:lang w:eastAsia="sv-SE" w:bidi="sv-SE"/>
        </w:rPr>
        <w:t xml:space="preserve"> </w:t>
      </w:r>
      <w:r w:rsidRPr="00000C73">
        <w:rPr>
          <w:rFonts w:ascii="Garamond" w:eastAsiaTheme="minorEastAsia" w:hAnsi="Garamond" w:cs="Times New Roman"/>
          <w:sz w:val="24"/>
          <w:szCs w:val="24"/>
          <w:lang w:eastAsia="sv-SE" w:bidi="sv-SE"/>
        </w:rPr>
        <w:t>B, ha företrädesrätt att teckna nya aktier i förhållande till det antal aktier de förut</w:t>
      </w:r>
    </w:p>
    <w:p w14:paraId="4FFA7CDA"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bidi="sv-SE"/>
        </w:rPr>
      </w:pPr>
      <w:r w:rsidRPr="00000C73">
        <w:rPr>
          <w:rFonts w:ascii="Garamond" w:eastAsiaTheme="minorEastAsia" w:hAnsi="Garamond" w:cs="Times New Roman"/>
          <w:sz w:val="24"/>
          <w:szCs w:val="24"/>
          <w:lang w:eastAsia="sv-SE" w:bidi="sv-SE"/>
        </w:rPr>
        <w:t>äger. Vad</w:t>
      </w:r>
      <w:r>
        <w:rPr>
          <w:rFonts w:ascii="Garamond" w:eastAsiaTheme="minorEastAsia" w:hAnsi="Garamond" w:cs="Times New Roman"/>
          <w:sz w:val="24"/>
          <w:szCs w:val="24"/>
          <w:lang w:eastAsia="sv-SE" w:bidi="sv-SE"/>
        </w:rPr>
        <w:t xml:space="preserve"> </w:t>
      </w:r>
      <w:r w:rsidRPr="00000C73">
        <w:rPr>
          <w:rFonts w:ascii="Garamond" w:eastAsiaTheme="minorEastAsia" w:hAnsi="Garamond" w:cs="Times New Roman"/>
          <w:sz w:val="24"/>
          <w:szCs w:val="24"/>
          <w:lang w:eastAsia="sv-SE" w:bidi="sv-SE"/>
        </w:rPr>
        <w:t>som föreskrivs ovan om aktieägares företrädesrätt skall äga motsvarande</w:t>
      </w:r>
    </w:p>
    <w:p w14:paraId="57949708"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bidi="sv-SE"/>
        </w:rPr>
      </w:pPr>
      <w:r w:rsidRPr="00000C73">
        <w:rPr>
          <w:rFonts w:ascii="Garamond" w:eastAsiaTheme="minorEastAsia" w:hAnsi="Garamond" w:cs="Times New Roman"/>
          <w:sz w:val="24"/>
          <w:szCs w:val="24"/>
          <w:lang w:eastAsia="sv-SE" w:bidi="sv-SE"/>
        </w:rPr>
        <w:t>tillämpning vid</w:t>
      </w:r>
      <w:r>
        <w:rPr>
          <w:rFonts w:ascii="Garamond" w:eastAsiaTheme="minorEastAsia" w:hAnsi="Garamond" w:cs="Times New Roman"/>
          <w:sz w:val="24"/>
          <w:szCs w:val="24"/>
          <w:lang w:eastAsia="sv-SE" w:bidi="sv-SE"/>
        </w:rPr>
        <w:t xml:space="preserve"> </w:t>
      </w:r>
      <w:r w:rsidRPr="00000C73">
        <w:rPr>
          <w:rFonts w:ascii="Garamond" w:eastAsiaTheme="minorEastAsia" w:hAnsi="Garamond" w:cs="Times New Roman"/>
          <w:sz w:val="24"/>
          <w:szCs w:val="24"/>
          <w:lang w:eastAsia="sv-SE" w:bidi="sv-SE"/>
        </w:rPr>
        <w:t>emission av teckningsoptioner och konvertibler.</w:t>
      </w:r>
      <w:r w:rsidRPr="00000C73">
        <w:rPr>
          <w:rFonts w:ascii="Times New Roman" w:eastAsiaTheme="minorEastAsia" w:hAnsi="Times New Roman" w:cs="Times New Roman"/>
          <w:sz w:val="24"/>
          <w:szCs w:val="24"/>
          <w:lang w:eastAsia="sv-SE"/>
        </w:rPr>
        <w:t xml:space="preserve"> </w:t>
      </w:r>
    </w:p>
    <w:p w14:paraId="7A72E498"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Times New Roman" w:eastAsiaTheme="minorEastAsia" w:hAnsi="Times New Roman" w:cs="Times New Roman"/>
          <w:sz w:val="24"/>
          <w:szCs w:val="24"/>
          <w:lang w:eastAsia="sv-SE"/>
        </w:rPr>
      </w:pPr>
    </w:p>
    <w:p w14:paraId="24B8A17E"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Times New Roman" w:eastAsiaTheme="minorEastAsia" w:hAnsi="Times New Roman" w:cs="Times New Roman"/>
          <w:sz w:val="24"/>
          <w:szCs w:val="24"/>
          <w:lang w:eastAsia="sv-SE"/>
        </w:rPr>
      </w:pPr>
    </w:p>
    <w:p w14:paraId="5A18256E"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Times New Roman" w:eastAsiaTheme="minorEastAsia" w:hAnsi="Times New Roman" w:cs="Times New Roman"/>
          <w:sz w:val="24"/>
          <w:szCs w:val="24"/>
          <w:lang w:eastAsia="sv-SE"/>
        </w:rPr>
      </w:pPr>
    </w:p>
    <w:p w14:paraId="6B60D1D0"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Times New Roman" w:eastAsiaTheme="minorEastAsia" w:hAnsi="Times New Roman" w:cs="Times New Roman"/>
          <w:sz w:val="24"/>
          <w:szCs w:val="24"/>
          <w:lang w:eastAsia="sv-SE"/>
        </w:rPr>
      </w:pPr>
    </w:p>
    <w:p w14:paraId="7C5E0521"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Times New Roman" w:eastAsiaTheme="minorEastAsia" w:hAnsi="Times New Roman" w:cs="Times New Roman"/>
          <w:sz w:val="24"/>
          <w:szCs w:val="24"/>
          <w:lang w:eastAsia="sv-SE"/>
        </w:rPr>
      </w:pPr>
    </w:p>
    <w:p w14:paraId="3DF7CAD5"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bidi="sv-SE"/>
        </w:rPr>
      </w:pPr>
    </w:p>
    <w:p w14:paraId="662D335B"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bidi="sv-SE"/>
        </w:rPr>
      </w:pPr>
      <w:r w:rsidRPr="00000C73">
        <w:rPr>
          <w:rFonts w:ascii="Garamond" w:eastAsiaTheme="minorEastAsia" w:hAnsi="Garamond" w:cs="Times New Roman"/>
          <w:sz w:val="24"/>
          <w:szCs w:val="24"/>
          <w:lang w:eastAsia="sv-SE" w:bidi="sv-SE"/>
        </w:rPr>
        <w:t>Vad som ovan sagts skall inte innebära någon inskränkning i möjligheten att fatta beslut</w:t>
      </w:r>
    </w:p>
    <w:p w14:paraId="6F180C10"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bidi="sv-SE"/>
        </w:rPr>
      </w:pPr>
      <w:r>
        <w:rPr>
          <w:rFonts w:ascii="Garamond" w:eastAsiaTheme="minorEastAsia" w:hAnsi="Garamond" w:cs="Times New Roman"/>
          <w:sz w:val="24"/>
          <w:szCs w:val="24"/>
          <w:lang w:eastAsia="sv-SE" w:bidi="sv-SE"/>
        </w:rPr>
        <w:t>o</w:t>
      </w:r>
      <w:r w:rsidRPr="00000C73">
        <w:rPr>
          <w:rFonts w:ascii="Garamond" w:eastAsiaTheme="minorEastAsia" w:hAnsi="Garamond" w:cs="Times New Roman"/>
          <w:sz w:val="24"/>
          <w:szCs w:val="24"/>
          <w:lang w:eastAsia="sv-SE" w:bidi="sv-SE"/>
        </w:rPr>
        <w:t>m</w:t>
      </w:r>
      <w:r>
        <w:rPr>
          <w:rFonts w:ascii="Garamond" w:eastAsiaTheme="minorEastAsia" w:hAnsi="Garamond" w:cs="Times New Roman"/>
          <w:sz w:val="24"/>
          <w:szCs w:val="24"/>
          <w:lang w:eastAsia="sv-SE" w:bidi="sv-SE"/>
        </w:rPr>
        <w:t xml:space="preserve"> </w:t>
      </w:r>
      <w:r w:rsidRPr="00000C73">
        <w:rPr>
          <w:rFonts w:ascii="Garamond" w:eastAsiaTheme="minorEastAsia" w:hAnsi="Garamond" w:cs="Times New Roman"/>
          <w:sz w:val="24"/>
          <w:szCs w:val="24"/>
          <w:lang w:eastAsia="sv-SE" w:bidi="sv-SE"/>
        </w:rPr>
        <w:t>kontantemission eller kvittningsemission med avvikelse från aktieägarnas företrädesrätt.</w:t>
      </w:r>
    </w:p>
    <w:p w14:paraId="0893B222"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2525809E" w14:textId="77777777" w:rsidR="00000C73" w:rsidRPr="00000C73" w:rsidRDefault="00000C73" w:rsidP="00000C73">
      <w:pPr>
        <w:widowControl w:val="0"/>
        <w:kinsoku w:val="0"/>
        <w:overflowPunct w:val="0"/>
        <w:autoSpaceDE w:val="0"/>
        <w:autoSpaceDN w:val="0"/>
        <w:adjustRightInd w:val="0"/>
        <w:spacing w:after="0" w:line="240" w:lineRule="auto"/>
        <w:ind w:right="400" w:firstLine="305"/>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Vid ökning av aktiekapitalet genom fondemission skall nya aktier emitteras av varje</w:t>
      </w:r>
    </w:p>
    <w:p w14:paraId="2AC40511"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aktieslag i förhållande till det antal aktier av samma slag som finns sedan tidigare. Därvid</w:t>
      </w:r>
    </w:p>
    <w:p w14:paraId="3D032495"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skall gamla aktier av visst aktieslag medföra företrädesrätt till nya aktier av samma</w:t>
      </w:r>
    </w:p>
    <w:p w14:paraId="3C9F45F1"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aktieslag.</w:t>
      </w:r>
      <w:r>
        <w:rPr>
          <w:rFonts w:ascii="Garamond" w:eastAsiaTheme="minorEastAsia" w:hAnsi="Garamond" w:cs="Times New Roman"/>
          <w:sz w:val="24"/>
          <w:szCs w:val="24"/>
          <w:lang w:eastAsia="sv-SE"/>
        </w:rPr>
        <w:t xml:space="preserve"> </w:t>
      </w:r>
      <w:r w:rsidRPr="00000C73">
        <w:rPr>
          <w:rFonts w:ascii="Garamond" w:eastAsiaTheme="minorEastAsia" w:hAnsi="Garamond" w:cs="Times New Roman"/>
          <w:sz w:val="24"/>
          <w:szCs w:val="24"/>
          <w:lang w:eastAsia="sv-SE"/>
        </w:rPr>
        <w:t>Vad som nu sagts skall inte innebära någon inskränkning i möjligheten att</w:t>
      </w:r>
    </w:p>
    <w:p w14:paraId="454AF1E9"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genom</w:t>
      </w:r>
      <w:r>
        <w:rPr>
          <w:rFonts w:ascii="Garamond" w:eastAsiaTheme="minorEastAsia" w:hAnsi="Garamond" w:cs="Times New Roman"/>
          <w:sz w:val="24"/>
          <w:szCs w:val="24"/>
          <w:lang w:eastAsia="sv-SE"/>
        </w:rPr>
        <w:t xml:space="preserve"> </w:t>
      </w:r>
      <w:r w:rsidRPr="00000C73">
        <w:rPr>
          <w:rFonts w:ascii="Garamond" w:eastAsiaTheme="minorEastAsia" w:hAnsi="Garamond" w:cs="Times New Roman"/>
          <w:sz w:val="24"/>
          <w:szCs w:val="24"/>
          <w:lang w:eastAsia="sv-SE"/>
        </w:rPr>
        <w:t>fondemission, efter erforderlig ändring av bolagsordningen, ge ut aktier av nytt</w:t>
      </w:r>
    </w:p>
    <w:p w14:paraId="672F5CCC"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slag.</w:t>
      </w:r>
      <w:r w:rsidRPr="00000C73">
        <w:rPr>
          <w:rFonts w:ascii="Times New Roman" w:eastAsiaTheme="minorEastAsia" w:hAnsi="Times New Roman" w:cs="Times New Roman"/>
          <w:sz w:val="24"/>
          <w:szCs w:val="24"/>
          <w:lang w:eastAsia="sv-SE"/>
        </w:rPr>
        <w:t xml:space="preserve"> </w:t>
      </w:r>
    </w:p>
    <w:p w14:paraId="1F07E031"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Times New Roman" w:eastAsiaTheme="minorEastAsia" w:hAnsi="Times New Roman" w:cs="Times New Roman"/>
          <w:sz w:val="24"/>
          <w:szCs w:val="24"/>
          <w:lang w:eastAsia="sv-SE"/>
        </w:rPr>
      </w:pPr>
    </w:p>
    <w:p w14:paraId="0C3088BA"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Aktie av serie A skall på begäran av dess ägare omvandlas till aktie av serie B. Begäran om</w:t>
      </w:r>
    </w:p>
    <w:p w14:paraId="3CFA01A4"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omvandling, som skall vara skriftlig och ange det antal aktier som skall omvandlas, skall</w:t>
      </w:r>
    </w:p>
    <w:p w14:paraId="5E1DC1A6"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göras hos bolaget. Bolaget skall utan dröjsmål anmäla omvandlingen till Bolagsverket för</w:t>
      </w:r>
    </w:p>
    <w:p w14:paraId="369AEBAD"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registrering. Omvandlingen är verkställd när registrering sker.</w:t>
      </w:r>
    </w:p>
    <w:p w14:paraId="705014AD"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4B361FF7"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xml:space="preserve">§ 6. Antal aktier </w:t>
      </w:r>
    </w:p>
    <w:p w14:paraId="76752EF4"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089739E2" w14:textId="24BEF01C"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 xml:space="preserve">Antalet aktier skall vara lägst </w:t>
      </w:r>
      <w:r w:rsidR="00845856">
        <w:rPr>
          <w:rFonts w:ascii="Garamond" w:eastAsia="Calibri" w:hAnsi="Garamond" w:cs="Calibri"/>
          <w:sz w:val="24"/>
          <w:szCs w:val="24"/>
        </w:rPr>
        <w:t>36.663.51</w:t>
      </w:r>
      <w:r w:rsidRPr="00000C73">
        <w:rPr>
          <w:rFonts w:ascii="Garamond" w:eastAsia="Calibri" w:hAnsi="Garamond" w:cs="Calibri"/>
          <w:sz w:val="24"/>
          <w:szCs w:val="24"/>
        </w:rPr>
        <w:t xml:space="preserve"> </w:t>
      </w:r>
      <w:r w:rsidRPr="00000C73">
        <w:rPr>
          <w:rFonts w:ascii="Garamond" w:eastAsiaTheme="minorEastAsia" w:hAnsi="Garamond" w:cs="Times New Roman"/>
          <w:sz w:val="24"/>
          <w:szCs w:val="24"/>
          <w:lang w:eastAsia="sv-SE"/>
        </w:rPr>
        <w:t xml:space="preserve">och högst </w:t>
      </w:r>
      <w:r w:rsidR="00845856">
        <w:rPr>
          <w:rFonts w:ascii="Garamond" w:eastAsia="Calibri" w:hAnsi="Garamond" w:cs="Calibri"/>
          <w:sz w:val="24"/>
          <w:szCs w:val="24"/>
        </w:rPr>
        <w:t>146.645.084</w:t>
      </w:r>
      <w:r w:rsidRPr="00000C73">
        <w:rPr>
          <w:rFonts w:ascii="Garamond" w:eastAsia="Calibri" w:hAnsi="Garamond" w:cs="Calibri"/>
          <w:sz w:val="24"/>
          <w:szCs w:val="24"/>
        </w:rPr>
        <w:t xml:space="preserve">. </w:t>
      </w:r>
    </w:p>
    <w:p w14:paraId="2C9454AA"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5180D520"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xml:space="preserve">§ 7. Styrelse </w:t>
      </w:r>
    </w:p>
    <w:p w14:paraId="567CFE85" w14:textId="77777777" w:rsidR="00000C73" w:rsidRPr="00000C73" w:rsidRDefault="00000C73" w:rsidP="00000C73">
      <w:pPr>
        <w:widowControl w:val="0"/>
        <w:autoSpaceDE w:val="0"/>
        <w:autoSpaceDN w:val="0"/>
        <w:adjustRightInd w:val="0"/>
        <w:spacing w:after="0" w:line="240" w:lineRule="auto"/>
        <w:ind w:left="720"/>
        <w:contextualSpacing/>
        <w:rPr>
          <w:rFonts w:ascii="Garamond" w:eastAsiaTheme="minorEastAsia" w:hAnsi="Garamond" w:cs="Times New Roman"/>
          <w:sz w:val="24"/>
          <w:szCs w:val="24"/>
          <w:lang w:eastAsia="sv-SE"/>
        </w:rPr>
      </w:pPr>
    </w:p>
    <w:p w14:paraId="143D229D"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Styrelsen skall bestå av lägst tre och högst sex ledamöter. Ledamöterna väljes årligen på</w:t>
      </w:r>
    </w:p>
    <w:p w14:paraId="0865A2E7"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ordinarie bolagsstämma för tiden intill slutet av nästa ordinarie bolagsstämma.</w:t>
      </w:r>
    </w:p>
    <w:p w14:paraId="3E271E6E"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7DC749BC"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Bolaget skall ha en eller två revisorer med eller utan suppleanter.</w:t>
      </w:r>
      <w:r w:rsidRPr="00000C73">
        <w:rPr>
          <w:rFonts w:ascii="Garamond" w:eastAsiaTheme="minorEastAsia" w:hAnsi="Garamond" w:cs="Times New Roman"/>
          <w:sz w:val="24"/>
          <w:szCs w:val="24"/>
          <w:lang w:eastAsia="sv-SE"/>
        </w:rPr>
        <w:br/>
      </w:r>
    </w:p>
    <w:p w14:paraId="6164A117"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8. Kallelse</w:t>
      </w:r>
    </w:p>
    <w:p w14:paraId="6C84C97E"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3D32D452"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Kallelse till årsstämma samt kallelse till extra bolagsstämma, där fråga om ändring av</w:t>
      </w:r>
    </w:p>
    <w:p w14:paraId="620816D8"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bolagsordningen kommer att behandlas, skall ske tidigast sex och senast fyra veckor före</w:t>
      </w:r>
    </w:p>
    <w:p w14:paraId="6B613A20" w14:textId="77777777" w:rsid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stämman. Kallelse till annan extra bolagsstämma skall ske tidigast sex och senast två</w:t>
      </w:r>
    </w:p>
    <w:p w14:paraId="0BFFDFC7"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veckor</w:t>
      </w:r>
      <w:r>
        <w:rPr>
          <w:rFonts w:ascii="Garamond" w:eastAsiaTheme="minorEastAsia" w:hAnsi="Garamond" w:cs="Times New Roman"/>
          <w:sz w:val="24"/>
          <w:szCs w:val="24"/>
          <w:lang w:eastAsia="sv-SE"/>
        </w:rPr>
        <w:t xml:space="preserve"> </w:t>
      </w:r>
      <w:r w:rsidRPr="00000C73">
        <w:rPr>
          <w:rFonts w:ascii="Garamond" w:eastAsiaTheme="minorEastAsia" w:hAnsi="Garamond" w:cs="Times New Roman"/>
          <w:sz w:val="24"/>
          <w:szCs w:val="24"/>
          <w:lang w:eastAsia="sv-SE"/>
        </w:rPr>
        <w:t xml:space="preserve">före stämman. </w:t>
      </w:r>
    </w:p>
    <w:p w14:paraId="72389C66"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00D4DD5C"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Kallelse till bolagsstämma skall ske genom annonsering i Post- och Inrikes Tidningar samt</w:t>
      </w:r>
    </w:p>
    <w:p w14:paraId="013CBFE8"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på bolagets webbplats. Att kallelse skett skall annonseras i Svenska Dagbladet.</w:t>
      </w:r>
    </w:p>
    <w:p w14:paraId="129AE494"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5B3FB0B4"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För att få deltaga i bolagsstämman skall aktieägare anmäla sig hos bolaget senast den dag</w:t>
      </w:r>
    </w:p>
    <w:p w14:paraId="356ADE04"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som anges i kallelsen till stämman, före klockan 16.00. Denna dag får inte vara söndag,</w:t>
      </w:r>
    </w:p>
    <w:p w14:paraId="5FD421E8"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annan allmän helgdag, lördag, midsommarafton, julafton eller nyårsafton, och får inte</w:t>
      </w:r>
    </w:p>
    <w:p w14:paraId="6825B50B" w14:textId="77777777" w:rsidR="00485771"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infalla tidigare än femte vardagen före stämman.</w:t>
      </w:r>
    </w:p>
    <w:p w14:paraId="099F5931" w14:textId="77777777" w:rsidR="00485771" w:rsidRDefault="00485771">
      <w:pPr>
        <w:rPr>
          <w:rFonts w:ascii="Garamond" w:eastAsiaTheme="minorEastAsia" w:hAnsi="Garamond" w:cs="Times New Roman"/>
          <w:sz w:val="24"/>
          <w:szCs w:val="24"/>
          <w:lang w:eastAsia="sv-SE"/>
        </w:rPr>
      </w:pPr>
      <w:r>
        <w:rPr>
          <w:rFonts w:ascii="Garamond" w:eastAsiaTheme="minorEastAsia" w:hAnsi="Garamond" w:cs="Times New Roman"/>
          <w:sz w:val="24"/>
          <w:szCs w:val="24"/>
          <w:lang w:eastAsia="sv-SE"/>
        </w:rPr>
        <w:br w:type="page"/>
      </w:r>
    </w:p>
    <w:p w14:paraId="412D5962" w14:textId="77777777" w:rsidR="00000C73" w:rsidRPr="00000C73" w:rsidRDefault="00000C73" w:rsidP="00485771">
      <w:pPr>
        <w:widowControl w:val="0"/>
        <w:kinsoku w:val="0"/>
        <w:overflowPunct w:val="0"/>
        <w:autoSpaceDE w:val="0"/>
        <w:autoSpaceDN w:val="0"/>
        <w:adjustRightInd w:val="0"/>
        <w:spacing w:after="0" w:line="240" w:lineRule="auto"/>
        <w:ind w:right="400" w:firstLine="305"/>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lastRenderedPageBreak/>
        <w:t xml:space="preserve">§ 9. Bolagsstämma </w:t>
      </w:r>
      <w:r w:rsidRPr="00000C73">
        <w:rPr>
          <w:rFonts w:ascii="Garamond" w:eastAsiaTheme="minorEastAsia" w:hAnsi="Garamond" w:cs="Times New Roman"/>
          <w:b/>
          <w:bCs/>
          <w:sz w:val="24"/>
          <w:szCs w:val="24"/>
          <w:lang w:eastAsia="sv-SE"/>
        </w:rPr>
        <w:br/>
      </w:r>
    </w:p>
    <w:p w14:paraId="03CAE15E" w14:textId="77777777" w:rsidR="00000C73" w:rsidRPr="00000C73" w:rsidRDefault="00000C73" w:rsidP="00000C73">
      <w:pPr>
        <w:widowControl w:val="0"/>
        <w:autoSpaceDE w:val="0"/>
        <w:autoSpaceDN w:val="0"/>
        <w:adjustRightInd w:val="0"/>
        <w:spacing w:after="0" w:line="240" w:lineRule="auto"/>
        <w:ind w:firstLine="305"/>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På ordinarie bolagsstämma skall följande ärenden förekomma till behandling.</w:t>
      </w:r>
    </w:p>
    <w:p w14:paraId="193481AE" w14:textId="77777777" w:rsidR="00000C73" w:rsidRPr="00000C73" w:rsidRDefault="00000C73" w:rsidP="00000C73">
      <w:pPr>
        <w:widowControl w:val="0"/>
        <w:autoSpaceDE w:val="0"/>
        <w:autoSpaceDN w:val="0"/>
        <w:adjustRightInd w:val="0"/>
        <w:spacing w:after="0" w:line="240" w:lineRule="auto"/>
        <w:ind w:firstLine="305"/>
        <w:rPr>
          <w:rFonts w:ascii="Garamond" w:eastAsiaTheme="minorEastAsia" w:hAnsi="Garamond" w:cs="Times New Roman"/>
          <w:sz w:val="24"/>
          <w:szCs w:val="24"/>
          <w:lang w:eastAsia="sv-SE"/>
        </w:rPr>
      </w:pPr>
    </w:p>
    <w:p w14:paraId="0E5FC256"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val av ordförande vid stämman;</w:t>
      </w:r>
    </w:p>
    <w:p w14:paraId="0AAF13B8"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upprättande och godkännande av röstlängd;</w:t>
      </w:r>
    </w:p>
    <w:p w14:paraId="79942F57"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godkännande av dagordning;</w:t>
      </w:r>
    </w:p>
    <w:p w14:paraId="44E910F8"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val av en eller två justeringsmän när sådan måste utses;</w:t>
      </w:r>
    </w:p>
    <w:p w14:paraId="3C3CD761"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prövning av om stämman blivit behörigen sammankallad;</w:t>
      </w:r>
    </w:p>
    <w:p w14:paraId="051F838D"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framläggande av årsredovisning och revisionsberättelse samt i förekommande fall koncernredovisning och koncernrevisionsberättelse;</w:t>
      </w:r>
      <w:r w:rsidR="00FF133D">
        <w:rPr>
          <w:rFonts w:ascii="Garamond" w:eastAsiaTheme="minorEastAsia" w:hAnsi="Garamond" w:cs="Times New Roman"/>
          <w:sz w:val="24"/>
          <w:szCs w:val="24"/>
          <w:lang w:eastAsia="sv-SE"/>
        </w:rPr>
        <w:t xml:space="preserve"> </w:t>
      </w:r>
    </w:p>
    <w:p w14:paraId="25066D80"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beslut</w:t>
      </w:r>
    </w:p>
    <w:p w14:paraId="02A38099" w14:textId="77777777" w:rsidR="00000C73" w:rsidRPr="00000C73" w:rsidRDefault="00000C73" w:rsidP="00000C73">
      <w:pPr>
        <w:widowControl w:val="0"/>
        <w:numPr>
          <w:ilvl w:val="0"/>
          <w:numId w:val="2"/>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om fastställelse av resultaträkning och balansräkning samt i förekommande fall koncernresultaträkning och koncernbalansräkning</w:t>
      </w:r>
    </w:p>
    <w:p w14:paraId="558930CB" w14:textId="77777777" w:rsidR="00000C73" w:rsidRPr="00000C73" w:rsidRDefault="00000C73" w:rsidP="00000C73">
      <w:pPr>
        <w:widowControl w:val="0"/>
        <w:numPr>
          <w:ilvl w:val="0"/>
          <w:numId w:val="2"/>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om dispositioner beträffande bolagets vinst eller förlust enligt den fastställda balansräkningen</w:t>
      </w:r>
    </w:p>
    <w:p w14:paraId="0B21B2F8" w14:textId="77777777" w:rsidR="00000C73" w:rsidRPr="00000C73" w:rsidRDefault="00000C73" w:rsidP="00000C73">
      <w:pPr>
        <w:widowControl w:val="0"/>
        <w:numPr>
          <w:ilvl w:val="0"/>
          <w:numId w:val="2"/>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om ansvarsfrihet åt styrelseledamöterna och verkställande direktör;</w:t>
      </w:r>
    </w:p>
    <w:p w14:paraId="26DB88B2"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fastställande av arvoden åt styrelsen och revisorn;</w:t>
      </w:r>
    </w:p>
    <w:p w14:paraId="4F17DBC5"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val av styrelse samt i förekommande fall revisor och revisorssuppleant;</w:t>
      </w:r>
    </w:p>
    <w:p w14:paraId="6156FCDD" w14:textId="77777777" w:rsidR="00000C73" w:rsidRPr="00000C73" w:rsidRDefault="00000C73" w:rsidP="00000C73">
      <w:pPr>
        <w:widowControl w:val="0"/>
        <w:numPr>
          <w:ilvl w:val="0"/>
          <w:numId w:val="1"/>
        </w:numPr>
        <w:autoSpaceDE w:val="0"/>
        <w:autoSpaceDN w:val="0"/>
        <w:adjustRightInd w:val="0"/>
        <w:spacing w:after="0" w:line="240" w:lineRule="auto"/>
        <w:contextualSpacing/>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annat ärende, som ankommer på stämman enligt aktiebolagslagen (2005:551) eller bolagsordningen.</w:t>
      </w:r>
      <w:r w:rsidRPr="00000C73">
        <w:rPr>
          <w:rFonts w:ascii="Times New Roman" w:eastAsiaTheme="minorEastAsia" w:hAnsi="Times New Roman" w:cs="Times New Roman"/>
          <w:sz w:val="24"/>
          <w:szCs w:val="24"/>
          <w:lang w:eastAsia="sv-SE"/>
        </w:rPr>
        <w:t xml:space="preserve"> </w:t>
      </w:r>
    </w:p>
    <w:p w14:paraId="612FA47E" w14:textId="77777777" w:rsidR="00000C73" w:rsidRPr="00000C73" w:rsidRDefault="00000C73" w:rsidP="00000C73">
      <w:pPr>
        <w:widowControl w:val="0"/>
        <w:autoSpaceDE w:val="0"/>
        <w:autoSpaceDN w:val="0"/>
        <w:adjustRightInd w:val="0"/>
        <w:spacing w:after="0" w:line="240" w:lineRule="auto"/>
        <w:ind w:left="305"/>
        <w:rPr>
          <w:rFonts w:ascii="Garamond" w:eastAsiaTheme="minorEastAsia" w:hAnsi="Garamond" w:cs="Times New Roman"/>
          <w:sz w:val="24"/>
          <w:szCs w:val="24"/>
          <w:lang w:eastAsia="sv-SE"/>
        </w:rPr>
      </w:pPr>
    </w:p>
    <w:p w14:paraId="7BC6596D" w14:textId="77777777" w:rsidR="00000C73" w:rsidRPr="00000C73" w:rsidRDefault="00000C73" w:rsidP="00000C73">
      <w:pPr>
        <w:widowControl w:val="0"/>
        <w:autoSpaceDE w:val="0"/>
        <w:autoSpaceDN w:val="0"/>
        <w:adjustRightInd w:val="0"/>
        <w:spacing w:after="0" w:line="240" w:lineRule="auto"/>
        <w:ind w:left="305"/>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Vid bolagsstämma får varje röstberättigad rösta för fulla antalet av honom ägda och företrädda aktier utan begränsning i röstetalet.</w:t>
      </w:r>
    </w:p>
    <w:p w14:paraId="03619AC5" w14:textId="77777777" w:rsidR="00000C73" w:rsidRPr="00000C73" w:rsidRDefault="00000C73" w:rsidP="00000C73">
      <w:pPr>
        <w:widowControl w:val="0"/>
        <w:autoSpaceDE w:val="0"/>
        <w:autoSpaceDN w:val="0"/>
        <w:adjustRightInd w:val="0"/>
        <w:spacing w:after="0" w:line="240" w:lineRule="auto"/>
        <w:ind w:left="305"/>
        <w:rPr>
          <w:rFonts w:ascii="Garamond" w:eastAsiaTheme="minorEastAsia" w:hAnsi="Garamond" w:cs="Times New Roman"/>
          <w:sz w:val="24"/>
          <w:szCs w:val="24"/>
          <w:lang w:eastAsia="sv-SE"/>
        </w:rPr>
      </w:pPr>
    </w:p>
    <w:p w14:paraId="527B27E5"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10. Räkenskapsår</w:t>
      </w:r>
    </w:p>
    <w:p w14:paraId="59B65C19"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43F8181A"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Bolagets räkenskapsår är 0101-1231.</w:t>
      </w:r>
    </w:p>
    <w:p w14:paraId="1FC1824D"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sz w:val="24"/>
          <w:szCs w:val="24"/>
          <w:lang w:eastAsia="sv-SE"/>
        </w:rPr>
      </w:pPr>
    </w:p>
    <w:p w14:paraId="5DB08A2E" w14:textId="77777777" w:rsidR="00000C73" w:rsidRPr="00000C73" w:rsidRDefault="00000C73" w:rsidP="00000C73">
      <w:pPr>
        <w:widowControl w:val="0"/>
        <w:kinsoku w:val="0"/>
        <w:overflowPunct w:val="0"/>
        <w:autoSpaceDE w:val="0"/>
        <w:autoSpaceDN w:val="0"/>
        <w:adjustRightInd w:val="0"/>
        <w:spacing w:after="0" w:line="240" w:lineRule="auto"/>
        <w:ind w:left="1438" w:right="400" w:hanging="1133"/>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11. Avstämningsförbehåll</w:t>
      </w:r>
    </w:p>
    <w:p w14:paraId="58B1E81E" w14:textId="77777777" w:rsidR="00000C73" w:rsidRPr="00000C73" w:rsidRDefault="00000C73" w:rsidP="00000C73">
      <w:pPr>
        <w:widowControl w:val="0"/>
        <w:autoSpaceDE w:val="0"/>
        <w:autoSpaceDN w:val="0"/>
        <w:adjustRightInd w:val="0"/>
        <w:spacing w:after="0" w:line="240" w:lineRule="auto"/>
        <w:ind w:left="720"/>
        <w:contextualSpacing/>
        <w:rPr>
          <w:rFonts w:ascii="Garamond" w:eastAsiaTheme="minorEastAsia" w:hAnsi="Garamond" w:cs="Times New Roman"/>
          <w:sz w:val="24"/>
          <w:szCs w:val="24"/>
          <w:lang w:eastAsia="sv-SE"/>
        </w:rPr>
      </w:pPr>
    </w:p>
    <w:p w14:paraId="3C22A5D5"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Den aktieägare eller förvaltare som på avstämningsdagen är införd i aktieboken och antecknad i ett avstämningsregister enligt 4 kap. lagen (1998:1479) om värdepapperscentraler och kontoföring av finansiella instrument eller den som är antecknad på avstämningskonto enligt 4 kap. 18 § första stycket 6</w:t>
      </w:r>
      <w:r w:rsidR="00B87848">
        <w:rPr>
          <w:rFonts w:ascii="Garamond" w:eastAsiaTheme="minorEastAsia" w:hAnsi="Garamond" w:cs="Times New Roman"/>
          <w:sz w:val="24"/>
          <w:szCs w:val="24"/>
          <w:lang w:eastAsia="sv-SE"/>
        </w:rPr>
        <w:t>-</w:t>
      </w:r>
      <w:r w:rsidRPr="00000C73">
        <w:rPr>
          <w:rFonts w:ascii="Garamond" w:eastAsiaTheme="minorEastAsia" w:hAnsi="Garamond" w:cs="Times New Roman"/>
          <w:sz w:val="24"/>
          <w:szCs w:val="24"/>
          <w:lang w:eastAsia="sv-SE"/>
        </w:rPr>
        <w:t>8 nämnda lag, skall antas vara behörig att utöva de rättigheter som framgår av 4 kap. 39 § aktiebolagslagen (2005:551).</w:t>
      </w:r>
    </w:p>
    <w:p w14:paraId="1840BB8A"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rPr>
      </w:pPr>
    </w:p>
    <w:p w14:paraId="06676AD6"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b/>
          <w:bCs/>
          <w:sz w:val="24"/>
          <w:szCs w:val="24"/>
          <w:lang w:eastAsia="sv-SE"/>
        </w:rPr>
      </w:pPr>
      <w:r w:rsidRPr="00000C73">
        <w:rPr>
          <w:rFonts w:ascii="Garamond" w:eastAsiaTheme="minorEastAsia" w:hAnsi="Garamond" w:cs="Times New Roman"/>
          <w:b/>
          <w:bCs/>
          <w:sz w:val="24"/>
          <w:szCs w:val="24"/>
          <w:lang w:eastAsia="sv-SE"/>
        </w:rPr>
        <w:t>§ 12. Redovisningsvaluta</w:t>
      </w:r>
    </w:p>
    <w:p w14:paraId="487A5514"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rPr>
      </w:pPr>
    </w:p>
    <w:p w14:paraId="181EC918" w14:textId="77777777" w:rsidR="00000C73" w:rsidRPr="00000C73" w:rsidRDefault="00000C73" w:rsidP="00000C73">
      <w:pPr>
        <w:widowControl w:val="0"/>
        <w:kinsoku w:val="0"/>
        <w:overflowPunct w:val="0"/>
        <w:autoSpaceDE w:val="0"/>
        <w:autoSpaceDN w:val="0"/>
        <w:adjustRightInd w:val="0"/>
        <w:spacing w:after="0" w:line="240" w:lineRule="auto"/>
        <w:ind w:left="305" w:right="400"/>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 xml:space="preserve">Bolaget skall ha Euro som redovisningsvaluta. </w:t>
      </w:r>
    </w:p>
    <w:p w14:paraId="7015559D" w14:textId="77777777" w:rsidR="00000C73" w:rsidRPr="00000C73" w:rsidRDefault="00000C73" w:rsidP="00000C73">
      <w:pPr>
        <w:widowControl w:val="0"/>
        <w:kinsoku w:val="0"/>
        <w:overflowPunct w:val="0"/>
        <w:autoSpaceDE w:val="0"/>
        <w:autoSpaceDN w:val="0"/>
        <w:adjustRightInd w:val="0"/>
        <w:spacing w:after="0" w:line="240" w:lineRule="auto"/>
        <w:ind w:left="305" w:right="400"/>
        <w:jc w:val="center"/>
        <w:rPr>
          <w:rFonts w:ascii="Garamond" w:eastAsiaTheme="minorEastAsia" w:hAnsi="Garamond" w:cs="Times New Roman"/>
          <w:sz w:val="24"/>
          <w:szCs w:val="24"/>
          <w:lang w:eastAsia="sv-SE"/>
        </w:rPr>
      </w:pPr>
    </w:p>
    <w:p w14:paraId="7D825534" w14:textId="77777777" w:rsidR="00000C73" w:rsidRPr="00000C73" w:rsidRDefault="00000C73" w:rsidP="00000C73">
      <w:pPr>
        <w:widowControl w:val="0"/>
        <w:kinsoku w:val="0"/>
        <w:overflowPunct w:val="0"/>
        <w:autoSpaceDE w:val="0"/>
        <w:autoSpaceDN w:val="0"/>
        <w:adjustRightInd w:val="0"/>
        <w:spacing w:after="0" w:line="240" w:lineRule="auto"/>
        <w:ind w:left="305" w:right="400"/>
        <w:jc w:val="center"/>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___________________</w:t>
      </w:r>
    </w:p>
    <w:p w14:paraId="0C0B9EC2" w14:textId="77777777" w:rsidR="00000C73" w:rsidRPr="00000C73" w:rsidRDefault="00000C73" w:rsidP="00000C73">
      <w:pPr>
        <w:widowControl w:val="0"/>
        <w:kinsoku w:val="0"/>
        <w:overflowPunct w:val="0"/>
        <w:autoSpaceDE w:val="0"/>
        <w:autoSpaceDN w:val="0"/>
        <w:adjustRightInd w:val="0"/>
        <w:spacing w:after="0" w:line="240" w:lineRule="auto"/>
        <w:ind w:left="305" w:right="400"/>
        <w:jc w:val="center"/>
        <w:rPr>
          <w:rFonts w:ascii="Garamond" w:eastAsiaTheme="minorEastAsia" w:hAnsi="Garamond" w:cs="Times New Roman"/>
          <w:sz w:val="24"/>
          <w:szCs w:val="24"/>
          <w:lang w:eastAsia="sv-SE"/>
        </w:rPr>
      </w:pPr>
    </w:p>
    <w:p w14:paraId="34D63D7D" w14:textId="2F196B1E" w:rsidR="00000C73" w:rsidRPr="00000C73" w:rsidRDefault="00000C73" w:rsidP="00000C73">
      <w:pPr>
        <w:widowControl w:val="0"/>
        <w:kinsoku w:val="0"/>
        <w:overflowPunct w:val="0"/>
        <w:autoSpaceDE w:val="0"/>
        <w:autoSpaceDN w:val="0"/>
        <w:adjustRightInd w:val="0"/>
        <w:spacing w:after="0" w:line="240" w:lineRule="auto"/>
        <w:ind w:left="305" w:right="400"/>
        <w:jc w:val="center"/>
        <w:rPr>
          <w:rFonts w:ascii="Garamond" w:eastAsiaTheme="minorEastAsia" w:hAnsi="Garamond" w:cs="Times New Roman"/>
          <w:sz w:val="24"/>
          <w:szCs w:val="24"/>
          <w:lang w:eastAsia="sv-SE"/>
        </w:rPr>
      </w:pPr>
      <w:r w:rsidRPr="00000C73">
        <w:rPr>
          <w:rFonts w:ascii="Garamond" w:eastAsiaTheme="minorEastAsia" w:hAnsi="Garamond" w:cs="Times New Roman"/>
          <w:sz w:val="24"/>
          <w:szCs w:val="24"/>
          <w:lang w:eastAsia="sv-SE"/>
        </w:rPr>
        <w:t xml:space="preserve">Denna bolagsordning har antagits vid årsstämman den </w:t>
      </w:r>
      <w:r w:rsidR="0042094A">
        <w:rPr>
          <w:rFonts w:ascii="Garamond" w:eastAsiaTheme="minorEastAsia" w:hAnsi="Garamond" w:cs="Times New Roman"/>
          <w:sz w:val="24"/>
          <w:szCs w:val="24"/>
          <w:lang w:eastAsia="sv-SE"/>
        </w:rPr>
        <w:t>30</w:t>
      </w:r>
      <w:r w:rsidRPr="00000C73">
        <w:rPr>
          <w:rFonts w:ascii="Garamond" w:eastAsiaTheme="minorEastAsia" w:hAnsi="Garamond" w:cs="Times New Roman"/>
          <w:sz w:val="24"/>
          <w:szCs w:val="24"/>
          <w:lang w:eastAsia="sv-SE"/>
        </w:rPr>
        <w:t xml:space="preserve"> juni 202</w:t>
      </w:r>
      <w:r w:rsidR="0042094A">
        <w:rPr>
          <w:rFonts w:ascii="Garamond" w:eastAsiaTheme="minorEastAsia" w:hAnsi="Garamond" w:cs="Times New Roman"/>
          <w:sz w:val="24"/>
          <w:szCs w:val="24"/>
          <w:lang w:eastAsia="sv-SE"/>
        </w:rPr>
        <w:t>2</w:t>
      </w:r>
      <w:r w:rsidRPr="00000C73">
        <w:rPr>
          <w:rFonts w:ascii="Garamond" w:eastAsiaTheme="minorEastAsia" w:hAnsi="Garamond" w:cs="Times New Roman"/>
          <w:sz w:val="24"/>
          <w:szCs w:val="24"/>
          <w:lang w:eastAsia="sv-SE"/>
        </w:rPr>
        <w:t>.</w:t>
      </w:r>
    </w:p>
    <w:p w14:paraId="1A01A30E" w14:textId="77777777" w:rsidR="00000C73" w:rsidRPr="00000C73" w:rsidRDefault="00000C73" w:rsidP="00000C73">
      <w:pPr>
        <w:widowControl w:val="0"/>
        <w:kinsoku w:val="0"/>
        <w:overflowPunct w:val="0"/>
        <w:autoSpaceDE w:val="0"/>
        <w:autoSpaceDN w:val="0"/>
        <w:adjustRightInd w:val="0"/>
        <w:spacing w:after="0" w:line="240" w:lineRule="auto"/>
        <w:ind w:left="305" w:right="400"/>
        <w:jc w:val="center"/>
        <w:rPr>
          <w:rFonts w:ascii="Garamond" w:eastAsiaTheme="minorEastAsia" w:hAnsi="Garamond" w:cs="Times New Roman"/>
          <w:sz w:val="24"/>
          <w:szCs w:val="24"/>
          <w:lang w:eastAsia="sv-SE"/>
        </w:rPr>
      </w:pPr>
    </w:p>
    <w:p w14:paraId="4BD8FDDE" w14:textId="77777777" w:rsidR="005174A9" w:rsidRDefault="005174A9"/>
    <w:sectPr w:rsidR="00517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C2038"/>
    <w:multiLevelType w:val="hybridMultilevel"/>
    <w:tmpl w:val="362C8710"/>
    <w:lvl w:ilvl="0" w:tplc="4D7A9096">
      <w:start w:val="1"/>
      <w:numFmt w:val="lowerLetter"/>
      <w:lvlText w:val="%1."/>
      <w:lvlJc w:val="left"/>
      <w:pPr>
        <w:ind w:left="1025" w:hanging="360"/>
      </w:pPr>
      <w:rPr>
        <w:rFonts w:hint="default"/>
      </w:rPr>
    </w:lvl>
    <w:lvl w:ilvl="1" w:tplc="041D0019" w:tentative="1">
      <w:start w:val="1"/>
      <w:numFmt w:val="lowerLetter"/>
      <w:lvlText w:val="%2."/>
      <w:lvlJc w:val="left"/>
      <w:pPr>
        <w:ind w:left="1745" w:hanging="360"/>
      </w:pPr>
    </w:lvl>
    <w:lvl w:ilvl="2" w:tplc="041D001B" w:tentative="1">
      <w:start w:val="1"/>
      <w:numFmt w:val="lowerRoman"/>
      <w:lvlText w:val="%3."/>
      <w:lvlJc w:val="right"/>
      <w:pPr>
        <w:ind w:left="2465" w:hanging="180"/>
      </w:pPr>
    </w:lvl>
    <w:lvl w:ilvl="3" w:tplc="041D000F" w:tentative="1">
      <w:start w:val="1"/>
      <w:numFmt w:val="decimal"/>
      <w:lvlText w:val="%4."/>
      <w:lvlJc w:val="left"/>
      <w:pPr>
        <w:ind w:left="3185" w:hanging="360"/>
      </w:pPr>
    </w:lvl>
    <w:lvl w:ilvl="4" w:tplc="041D0019" w:tentative="1">
      <w:start w:val="1"/>
      <w:numFmt w:val="lowerLetter"/>
      <w:lvlText w:val="%5."/>
      <w:lvlJc w:val="left"/>
      <w:pPr>
        <w:ind w:left="3905" w:hanging="360"/>
      </w:pPr>
    </w:lvl>
    <w:lvl w:ilvl="5" w:tplc="041D001B" w:tentative="1">
      <w:start w:val="1"/>
      <w:numFmt w:val="lowerRoman"/>
      <w:lvlText w:val="%6."/>
      <w:lvlJc w:val="right"/>
      <w:pPr>
        <w:ind w:left="4625" w:hanging="180"/>
      </w:pPr>
    </w:lvl>
    <w:lvl w:ilvl="6" w:tplc="041D000F" w:tentative="1">
      <w:start w:val="1"/>
      <w:numFmt w:val="decimal"/>
      <w:lvlText w:val="%7."/>
      <w:lvlJc w:val="left"/>
      <w:pPr>
        <w:ind w:left="5345" w:hanging="360"/>
      </w:pPr>
    </w:lvl>
    <w:lvl w:ilvl="7" w:tplc="041D0019" w:tentative="1">
      <w:start w:val="1"/>
      <w:numFmt w:val="lowerLetter"/>
      <w:lvlText w:val="%8."/>
      <w:lvlJc w:val="left"/>
      <w:pPr>
        <w:ind w:left="6065" w:hanging="360"/>
      </w:pPr>
    </w:lvl>
    <w:lvl w:ilvl="8" w:tplc="041D001B" w:tentative="1">
      <w:start w:val="1"/>
      <w:numFmt w:val="lowerRoman"/>
      <w:lvlText w:val="%9."/>
      <w:lvlJc w:val="right"/>
      <w:pPr>
        <w:ind w:left="6785" w:hanging="180"/>
      </w:pPr>
    </w:lvl>
  </w:abstractNum>
  <w:abstractNum w:abstractNumId="1" w15:restartNumberingAfterBreak="0">
    <w:nsid w:val="7FCD2242"/>
    <w:multiLevelType w:val="hybridMultilevel"/>
    <w:tmpl w:val="8A9C25E2"/>
    <w:lvl w:ilvl="0" w:tplc="A3D81952">
      <w:start w:val="1"/>
      <w:numFmt w:val="decimal"/>
      <w:lvlText w:val="%1."/>
      <w:lvlJc w:val="left"/>
      <w:pPr>
        <w:ind w:left="665" w:hanging="360"/>
      </w:pPr>
      <w:rPr>
        <w:rFonts w:hint="default"/>
      </w:rPr>
    </w:lvl>
    <w:lvl w:ilvl="1" w:tplc="041D0019" w:tentative="1">
      <w:start w:val="1"/>
      <w:numFmt w:val="lowerLetter"/>
      <w:lvlText w:val="%2."/>
      <w:lvlJc w:val="left"/>
      <w:pPr>
        <w:ind w:left="1385" w:hanging="360"/>
      </w:pPr>
    </w:lvl>
    <w:lvl w:ilvl="2" w:tplc="041D001B" w:tentative="1">
      <w:start w:val="1"/>
      <w:numFmt w:val="lowerRoman"/>
      <w:lvlText w:val="%3."/>
      <w:lvlJc w:val="right"/>
      <w:pPr>
        <w:ind w:left="2105" w:hanging="180"/>
      </w:pPr>
    </w:lvl>
    <w:lvl w:ilvl="3" w:tplc="041D000F" w:tentative="1">
      <w:start w:val="1"/>
      <w:numFmt w:val="decimal"/>
      <w:lvlText w:val="%4."/>
      <w:lvlJc w:val="left"/>
      <w:pPr>
        <w:ind w:left="2825" w:hanging="360"/>
      </w:pPr>
    </w:lvl>
    <w:lvl w:ilvl="4" w:tplc="041D0019" w:tentative="1">
      <w:start w:val="1"/>
      <w:numFmt w:val="lowerLetter"/>
      <w:lvlText w:val="%5."/>
      <w:lvlJc w:val="left"/>
      <w:pPr>
        <w:ind w:left="3545" w:hanging="360"/>
      </w:pPr>
    </w:lvl>
    <w:lvl w:ilvl="5" w:tplc="041D001B" w:tentative="1">
      <w:start w:val="1"/>
      <w:numFmt w:val="lowerRoman"/>
      <w:lvlText w:val="%6."/>
      <w:lvlJc w:val="right"/>
      <w:pPr>
        <w:ind w:left="4265" w:hanging="180"/>
      </w:pPr>
    </w:lvl>
    <w:lvl w:ilvl="6" w:tplc="041D000F" w:tentative="1">
      <w:start w:val="1"/>
      <w:numFmt w:val="decimal"/>
      <w:lvlText w:val="%7."/>
      <w:lvlJc w:val="left"/>
      <w:pPr>
        <w:ind w:left="4985" w:hanging="360"/>
      </w:pPr>
    </w:lvl>
    <w:lvl w:ilvl="7" w:tplc="041D0019" w:tentative="1">
      <w:start w:val="1"/>
      <w:numFmt w:val="lowerLetter"/>
      <w:lvlText w:val="%8."/>
      <w:lvlJc w:val="left"/>
      <w:pPr>
        <w:ind w:left="5705" w:hanging="360"/>
      </w:pPr>
    </w:lvl>
    <w:lvl w:ilvl="8" w:tplc="041D001B" w:tentative="1">
      <w:start w:val="1"/>
      <w:numFmt w:val="lowerRoman"/>
      <w:lvlText w:val="%9."/>
      <w:lvlJc w:val="right"/>
      <w:pPr>
        <w:ind w:left="6425" w:hanging="180"/>
      </w:pPr>
    </w:lvl>
  </w:abstractNum>
  <w:num w:numId="1" w16cid:durableId="1182088981">
    <w:abstractNumId w:val="1"/>
  </w:num>
  <w:num w:numId="2" w16cid:durableId="130531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73"/>
    <w:rsid w:val="00000C73"/>
    <w:rsid w:val="0042094A"/>
    <w:rsid w:val="00485771"/>
    <w:rsid w:val="005174A9"/>
    <w:rsid w:val="00845856"/>
    <w:rsid w:val="00985937"/>
    <w:rsid w:val="00A31E2D"/>
    <w:rsid w:val="00B87848"/>
    <w:rsid w:val="00BD0FCE"/>
    <w:rsid w:val="00C17FAB"/>
    <w:rsid w:val="00C61D4D"/>
    <w:rsid w:val="00E707E9"/>
    <w:rsid w:val="00FC36F4"/>
    <w:rsid w:val="00FF13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393F"/>
  <w15:chartTrackingRefBased/>
  <w15:docId w15:val="{8DBC4D0A-733B-4B71-8029-3ED61294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Andersson</dc:creator>
  <cp:keywords/>
  <dc:description/>
  <cp:lastModifiedBy>Aleksandrs Tralmaks</cp:lastModifiedBy>
  <cp:revision>3</cp:revision>
  <cp:lastPrinted>2020-06-11T12:02:00Z</cp:lastPrinted>
  <dcterms:created xsi:type="dcterms:W3CDTF">2025-09-02T10:19:00Z</dcterms:created>
  <dcterms:modified xsi:type="dcterms:W3CDTF">2025-09-02T10:23:00Z</dcterms:modified>
</cp:coreProperties>
</file>